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Avenir" w:cs="Avenir" w:eastAsia="Avenir" w:hAnsi="Avenir"/>
          <w:b w:val="1"/>
          <w:color w:val="18405b"/>
          <w:sz w:val="28"/>
          <w:szCs w:val="28"/>
        </w:rPr>
      </w:pPr>
      <w:r w:rsidDel="00000000" w:rsidR="00000000" w:rsidRPr="00000000">
        <w:rPr>
          <w:rtl w:val="0"/>
        </w:rPr>
      </w:r>
    </w:p>
    <w:p w:rsidR="00000000" w:rsidDel="00000000" w:rsidP="00000000" w:rsidRDefault="00000000" w:rsidRPr="00000000" w14:paraId="00000002">
      <w:pPr>
        <w:spacing w:after="240" w:before="240" w:lineRule="auto"/>
        <w:rPr>
          <w:rFonts w:ascii="Avenir" w:cs="Avenir" w:eastAsia="Avenir" w:hAnsi="Avenir"/>
          <w:b w:val="1"/>
          <w:color w:val="2b8d93"/>
          <w:sz w:val="18"/>
          <w:szCs w:val="18"/>
        </w:rPr>
      </w:pPr>
      <w:r w:rsidDel="00000000" w:rsidR="00000000" w:rsidRPr="00000000">
        <w:rPr>
          <w:rtl w:val="0"/>
        </w:rPr>
      </w:r>
    </w:p>
    <w:p w:rsidR="00000000" w:rsidDel="00000000" w:rsidP="00000000" w:rsidRDefault="00000000" w:rsidRPr="00000000" w14:paraId="00000003">
      <w:pPr>
        <w:pStyle w:val="Title"/>
        <w:spacing w:after="240" w:before="240" w:lineRule="auto"/>
        <w:rPr>
          <w:rFonts w:ascii="Avenir" w:cs="Avenir" w:eastAsia="Avenir" w:hAnsi="Avenir"/>
          <w:color w:val="2b8d93"/>
          <w:sz w:val="42"/>
          <w:szCs w:val="42"/>
        </w:rPr>
      </w:pPr>
      <w:bookmarkStart w:colFirst="0" w:colLast="0" w:name="_kby6hpz7jycy" w:id="0"/>
      <w:bookmarkEnd w:id="0"/>
      <w:r w:rsidDel="00000000" w:rsidR="00000000" w:rsidRPr="00000000">
        <w:rPr>
          <w:rFonts w:ascii="Avenir" w:cs="Avenir" w:eastAsia="Avenir" w:hAnsi="Avenir"/>
          <w:color w:val="2b8d93"/>
          <w:sz w:val="42"/>
          <w:szCs w:val="42"/>
          <w:rtl w:val="0"/>
        </w:rPr>
        <w:t xml:space="preserve">WORLD RADIOTHERAPY AWARENESS DAY </w:t>
      </w:r>
      <w:r w:rsidDel="00000000" w:rsidR="00000000" w:rsidRPr="00000000">
        <w:rPr>
          <w:rFonts w:ascii="Avenir" w:cs="Avenir" w:eastAsia="Avenir" w:hAnsi="Avenir"/>
          <w:color w:val="2b8d93"/>
          <w:sz w:val="42"/>
          <w:szCs w:val="42"/>
          <w:rtl w:val="0"/>
        </w:rPr>
        <w:t xml:space="preserve">2025</w:t>
      </w:r>
    </w:p>
    <w:p w:rsidR="00000000" w:rsidDel="00000000" w:rsidP="00000000" w:rsidRDefault="00000000" w:rsidRPr="00000000" w14:paraId="00000004">
      <w:pPr>
        <w:rPr>
          <w:rFonts w:ascii="Avenir" w:cs="Avenir" w:eastAsia="Avenir" w:hAnsi="Avenir"/>
          <w:color w:val="71acb2"/>
          <w:sz w:val="36"/>
          <w:szCs w:val="36"/>
        </w:rPr>
      </w:pPr>
      <w:r w:rsidDel="00000000" w:rsidR="00000000" w:rsidRPr="00000000">
        <w:rPr>
          <w:rFonts w:ascii="Avenir" w:cs="Avenir" w:eastAsia="Avenir" w:hAnsi="Avenir"/>
          <w:color w:val="71acb2"/>
          <w:sz w:val="36"/>
          <w:szCs w:val="36"/>
          <w:rtl w:val="0"/>
        </w:rPr>
        <w:t xml:space="preserve">EVENT SUGGESTIONS</w:t>
      </w:r>
    </w:p>
    <w:p w:rsidR="00000000" w:rsidDel="00000000" w:rsidP="00000000" w:rsidRDefault="00000000" w:rsidRPr="00000000" w14:paraId="00000005">
      <w:pPr>
        <w:spacing w:after="240" w:before="240" w:lineRule="auto"/>
        <w:rPr>
          <w:rFonts w:ascii="Avenir" w:cs="Avenir" w:eastAsia="Avenir" w:hAnsi="Avenir"/>
          <w:color w:val="18405b"/>
        </w:rPr>
      </w:pPr>
      <w:r w:rsidDel="00000000" w:rsidR="00000000" w:rsidRPr="00000000">
        <w:rPr>
          <w:rFonts w:ascii="Avenir" w:cs="Avenir" w:eastAsia="Avenir" w:hAnsi="Avenir"/>
          <w:b w:val="1"/>
          <w:i w:val="1"/>
          <w:color w:val="18405b"/>
          <w:rtl w:val="0"/>
        </w:rPr>
        <w:t xml:space="preserve">Context:</w:t>
      </w:r>
      <w:r w:rsidDel="00000000" w:rsidR="00000000" w:rsidRPr="00000000">
        <w:rPr>
          <w:rFonts w:ascii="Avenir" w:cs="Avenir" w:eastAsia="Avenir" w:hAnsi="Avenir"/>
          <w:color w:val="18405b"/>
          <w:rtl w:val="0"/>
        </w:rPr>
        <w:t xml:space="preserve">  7</w:t>
      </w:r>
      <w:r w:rsidDel="00000000" w:rsidR="00000000" w:rsidRPr="00000000">
        <w:rPr>
          <w:rFonts w:ascii="Avenir" w:cs="Avenir" w:eastAsia="Avenir" w:hAnsi="Avenir"/>
          <w:color w:val="18405b"/>
          <w:vertAlign w:val="superscript"/>
          <w:rtl w:val="0"/>
        </w:rPr>
        <w:t xml:space="preserve">th</w:t>
      </w:r>
      <w:r w:rsidDel="00000000" w:rsidR="00000000" w:rsidRPr="00000000">
        <w:rPr>
          <w:rFonts w:ascii="Avenir" w:cs="Avenir" w:eastAsia="Avenir" w:hAnsi="Avenir"/>
          <w:color w:val="18405b"/>
          <w:rtl w:val="0"/>
        </w:rPr>
        <w:t xml:space="preserve"> September is the first-ever World Radiotherapy Awareness Day (WRAD). As part of the Toolkit, these event ideas are designed for local radiotherapy teams to celebrate and engage wider communities.</w:t>
      </w:r>
    </w:p>
    <w:p w:rsidR="00000000" w:rsidDel="00000000" w:rsidP="00000000" w:rsidRDefault="00000000" w:rsidRPr="00000000" w14:paraId="00000006">
      <w:pPr>
        <w:pStyle w:val="Heading1"/>
        <w:spacing w:after="240" w:before="240" w:lineRule="auto"/>
        <w:rPr>
          <w:rFonts w:ascii="Avenir" w:cs="Avenir" w:eastAsia="Avenir" w:hAnsi="Avenir"/>
          <w:color w:val="18405b"/>
        </w:rPr>
      </w:pPr>
      <w:bookmarkStart w:colFirst="0" w:colLast="0" w:name="_blugspwqp6ug" w:id="1"/>
      <w:bookmarkEnd w:id="1"/>
      <w:r w:rsidDel="00000000" w:rsidR="00000000" w:rsidRPr="00000000">
        <w:rPr>
          <w:rFonts w:ascii="Avenir" w:cs="Avenir" w:eastAsia="Avenir" w:hAnsi="Avenir"/>
          <w:color w:val="18405b"/>
          <w:rtl w:val="0"/>
        </w:rPr>
        <w:t xml:space="preserve">Department Coffee Break</w:t>
      </w:r>
    </w:p>
    <w:p w:rsidR="00000000" w:rsidDel="00000000" w:rsidP="00000000" w:rsidRDefault="00000000" w:rsidRPr="00000000" w14:paraId="00000007">
      <w:pPr>
        <w:spacing w:after="240" w:before="240" w:lineRule="auto"/>
        <w:rPr>
          <w:rFonts w:ascii="Avenir" w:cs="Avenir" w:eastAsia="Avenir" w:hAnsi="Avenir"/>
          <w:color w:val="18405b"/>
        </w:rPr>
      </w:pPr>
      <w:r w:rsidDel="00000000" w:rsidR="00000000" w:rsidRPr="00000000">
        <w:rPr>
          <w:rFonts w:ascii="Avenir" w:cs="Avenir" w:eastAsia="Avenir" w:hAnsi="Avenir"/>
          <w:b w:val="1"/>
          <w:color w:val="18405b"/>
          <w:rtl w:val="0"/>
        </w:rPr>
        <w:t xml:space="preserve">What:</w:t>
      </w:r>
      <w:r w:rsidDel="00000000" w:rsidR="00000000" w:rsidRPr="00000000">
        <w:rPr>
          <w:rFonts w:ascii="Avenir" w:cs="Avenir" w:eastAsia="Avenir" w:hAnsi="Avenir"/>
          <w:color w:val="18405b"/>
          <w:rtl w:val="0"/>
        </w:rPr>
        <w:t xml:space="preserve"> Host a coffee or tea break in your radiotherapy department and invite colleagues from across the hospital. Encourage everyone to bring a favourite snack to share. Add a ‘Radiotherapy Fact’ card to each table or treat.</w:t>
        <w:br w:type="textWrapping"/>
      </w:r>
      <w:r w:rsidDel="00000000" w:rsidR="00000000" w:rsidRPr="00000000">
        <w:rPr>
          <w:rFonts w:ascii="Avenir" w:cs="Avenir" w:eastAsia="Avenir" w:hAnsi="Avenir"/>
          <w:b w:val="1"/>
          <w:color w:val="18405b"/>
          <w:rtl w:val="0"/>
        </w:rPr>
        <w:t xml:space="preserve">Toolkit Provides</w:t>
      </w:r>
      <w:r w:rsidDel="00000000" w:rsidR="00000000" w:rsidRPr="00000000">
        <w:rPr>
          <w:rFonts w:ascii="Avenir" w:cs="Avenir" w:eastAsia="Avenir" w:hAnsi="Avenir"/>
          <w:color w:val="18405b"/>
          <w:rtl w:val="0"/>
        </w:rPr>
        <w:t xml:space="preserve">: Generic posters, empty belly posters, bunting, fact cards, and an invitation template. </w:t>
      </w:r>
    </w:p>
    <w:p w:rsidR="00000000" w:rsidDel="00000000" w:rsidP="00000000" w:rsidRDefault="00000000" w:rsidRPr="00000000" w14:paraId="00000008">
      <w:pPr>
        <w:pStyle w:val="Heading1"/>
        <w:spacing w:after="240" w:before="240" w:lineRule="auto"/>
        <w:rPr>
          <w:rFonts w:ascii="Avenir" w:cs="Avenir" w:eastAsia="Avenir" w:hAnsi="Avenir"/>
          <w:color w:val="18405b"/>
        </w:rPr>
      </w:pPr>
      <w:bookmarkStart w:colFirst="0" w:colLast="0" w:name="_w371721tgzbv" w:id="2"/>
      <w:bookmarkEnd w:id="2"/>
      <w:r w:rsidDel="00000000" w:rsidR="00000000" w:rsidRPr="00000000">
        <w:rPr>
          <w:rFonts w:ascii="Avenir" w:cs="Avenir" w:eastAsia="Avenir" w:hAnsi="Avenir"/>
          <w:color w:val="18405b"/>
          <w:rtl w:val="0"/>
        </w:rPr>
        <w:t xml:space="preserve">Pop-Up WRAD Stand / Story Wall</w:t>
      </w:r>
    </w:p>
    <w:p w:rsidR="00000000" w:rsidDel="00000000" w:rsidP="00000000" w:rsidRDefault="00000000" w:rsidRPr="00000000" w14:paraId="00000009">
      <w:pPr>
        <w:spacing w:before="240" w:lineRule="auto"/>
        <w:rPr>
          <w:rFonts w:ascii="Avenir" w:cs="Avenir" w:eastAsia="Avenir" w:hAnsi="Avenir"/>
          <w:color w:val="18405b"/>
        </w:rPr>
      </w:pPr>
      <w:r w:rsidDel="00000000" w:rsidR="00000000" w:rsidRPr="00000000">
        <w:rPr>
          <w:rFonts w:ascii="Avenir" w:cs="Avenir" w:eastAsia="Avenir" w:hAnsi="Avenir"/>
          <w:b w:val="1"/>
          <w:color w:val="18405b"/>
          <w:rtl w:val="0"/>
        </w:rPr>
        <w:t xml:space="preserve">What:</w:t>
      </w:r>
      <w:r w:rsidDel="00000000" w:rsidR="00000000" w:rsidRPr="00000000">
        <w:rPr>
          <w:rFonts w:ascii="Avenir" w:cs="Avenir" w:eastAsia="Avenir" w:hAnsi="Avenir"/>
          <w:color w:val="18405b"/>
          <w:rtl w:val="0"/>
        </w:rPr>
        <w:t xml:space="preserve"> Set up an eye-catching WRAD stand in your hospital lobby or waiting area. Include:</w:t>
      </w:r>
    </w:p>
    <w:p w:rsidR="00000000" w:rsidDel="00000000" w:rsidP="00000000" w:rsidRDefault="00000000" w:rsidRPr="00000000" w14:paraId="0000000A">
      <w:pPr>
        <w:numPr>
          <w:ilvl w:val="0"/>
          <w:numId w:val="2"/>
        </w:numPr>
        <w:spacing w:after="0" w:afterAutospacing="0" w:lineRule="auto"/>
        <w:ind w:left="720" w:hanging="360"/>
        <w:rPr>
          <w:rFonts w:ascii="Avenir" w:cs="Avenir" w:eastAsia="Avenir" w:hAnsi="Avenir"/>
          <w:color w:val="18405b"/>
        </w:rPr>
      </w:pPr>
      <w:r w:rsidDel="00000000" w:rsidR="00000000" w:rsidRPr="00000000">
        <w:rPr>
          <w:rFonts w:ascii="Avenir" w:cs="Avenir" w:eastAsia="Avenir" w:hAnsi="Avenir"/>
          <w:color w:val="18405b"/>
          <w:rtl w:val="0"/>
        </w:rPr>
        <w:t xml:space="preserve">A “What is Radiotherapy?” info board</w:t>
      </w:r>
    </w:p>
    <w:p w:rsidR="00000000" w:rsidDel="00000000" w:rsidP="00000000" w:rsidRDefault="00000000" w:rsidRPr="00000000" w14:paraId="0000000B">
      <w:pPr>
        <w:numPr>
          <w:ilvl w:val="0"/>
          <w:numId w:val="2"/>
        </w:numPr>
        <w:spacing w:after="0" w:afterAutospacing="0" w:lineRule="auto"/>
        <w:ind w:left="720" w:hanging="360"/>
        <w:rPr>
          <w:rFonts w:ascii="Avenir" w:cs="Avenir" w:eastAsia="Avenir" w:hAnsi="Avenir"/>
          <w:color w:val="18405b"/>
        </w:rPr>
      </w:pPr>
      <w:r w:rsidDel="00000000" w:rsidR="00000000" w:rsidRPr="00000000">
        <w:rPr>
          <w:rFonts w:ascii="Avenir" w:cs="Avenir" w:eastAsia="Avenir" w:hAnsi="Avenir"/>
          <w:color w:val="18405b"/>
          <w:rtl w:val="0"/>
        </w:rPr>
        <w:t xml:space="preserve">A “Radiotherapy Changed My Life” story wall (with patient or staff quotes)</w:t>
      </w:r>
    </w:p>
    <w:p w:rsidR="00000000" w:rsidDel="00000000" w:rsidP="00000000" w:rsidRDefault="00000000" w:rsidRPr="00000000" w14:paraId="0000000C">
      <w:pPr>
        <w:numPr>
          <w:ilvl w:val="0"/>
          <w:numId w:val="2"/>
        </w:numPr>
        <w:spacing w:after="240" w:lineRule="auto"/>
        <w:ind w:left="720" w:hanging="360"/>
        <w:rPr>
          <w:rFonts w:ascii="Avenir" w:cs="Avenir" w:eastAsia="Avenir" w:hAnsi="Avenir"/>
          <w:color w:val="18405b"/>
        </w:rPr>
      </w:pPr>
      <w:r w:rsidDel="00000000" w:rsidR="00000000" w:rsidRPr="00000000">
        <w:rPr>
          <w:rFonts w:ascii="Avenir" w:cs="Avenir" w:eastAsia="Avenir" w:hAnsi="Avenir"/>
          <w:color w:val="18405b"/>
          <w:rtl w:val="0"/>
        </w:rPr>
        <w:t xml:space="preserve">An “Ask a Radiotherapy Question” box for anonymous questions</w:t>
      </w:r>
    </w:p>
    <w:p w:rsidR="00000000" w:rsidDel="00000000" w:rsidP="00000000" w:rsidRDefault="00000000" w:rsidRPr="00000000" w14:paraId="0000000D">
      <w:pPr>
        <w:spacing w:before="240" w:lineRule="auto"/>
        <w:rPr>
          <w:rFonts w:ascii="Avenir" w:cs="Avenir" w:eastAsia="Avenir" w:hAnsi="Avenir"/>
          <w:color w:val="18405b"/>
        </w:rPr>
      </w:pPr>
      <w:r w:rsidDel="00000000" w:rsidR="00000000" w:rsidRPr="00000000">
        <w:rPr>
          <w:rFonts w:ascii="Avenir" w:cs="Avenir" w:eastAsia="Avenir" w:hAnsi="Avenir"/>
          <w:b w:val="1"/>
          <w:color w:val="18405b"/>
          <w:rtl w:val="0"/>
        </w:rPr>
        <w:t xml:space="preserve">Toolkit Provides:</w:t>
      </w:r>
      <w:r w:rsidDel="00000000" w:rsidR="00000000" w:rsidRPr="00000000">
        <w:rPr>
          <w:rFonts w:ascii="Avenir" w:cs="Avenir" w:eastAsia="Avenir" w:hAnsi="Avenir"/>
          <w:color w:val="18405b"/>
          <w:rtl w:val="0"/>
        </w:rPr>
        <w:t xml:space="preserve"> Generic posters</w:t>
      </w:r>
    </w:p>
    <w:p w:rsidR="00000000" w:rsidDel="00000000" w:rsidP="00000000" w:rsidRDefault="00000000" w:rsidRPr="00000000" w14:paraId="0000000E">
      <w:pPr>
        <w:pStyle w:val="Heading1"/>
        <w:spacing w:after="240" w:before="240" w:lineRule="auto"/>
        <w:rPr>
          <w:rFonts w:ascii="Avenir" w:cs="Avenir" w:eastAsia="Avenir" w:hAnsi="Avenir"/>
          <w:color w:val="18405b"/>
        </w:rPr>
      </w:pPr>
      <w:bookmarkStart w:colFirst="0" w:colLast="0" w:name="_r0o2j4f6vo84" w:id="3"/>
      <w:bookmarkEnd w:id="3"/>
      <w:r w:rsidDel="00000000" w:rsidR="00000000" w:rsidRPr="00000000">
        <w:rPr>
          <w:rFonts w:ascii="Avenir" w:cs="Avenir" w:eastAsia="Avenir" w:hAnsi="Avenir"/>
          <w:color w:val="18405b"/>
          <w:rtl w:val="0"/>
        </w:rPr>
        <w:t xml:space="preserve">Wear Orange Day</w:t>
      </w:r>
    </w:p>
    <w:p w:rsidR="00000000" w:rsidDel="00000000" w:rsidP="00000000" w:rsidRDefault="00000000" w:rsidRPr="00000000" w14:paraId="0000000F">
      <w:pPr>
        <w:spacing w:after="240" w:before="240" w:lineRule="auto"/>
        <w:rPr>
          <w:rFonts w:ascii="Avenir" w:cs="Avenir" w:eastAsia="Avenir" w:hAnsi="Avenir"/>
          <w:b w:val="1"/>
          <w:color w:val="18405b"/>
          <w:u w:val="single"/>
        </w:rPr>
      </w:pPr>
      <w:r w:rsidDel="00000000" w:rsidR="00000000" w:rsidRPr="00000000">
        <w:rPr>
          <w:rFonts w:ascii="Avenir" w:cs="Avenir" w:eastAsia="Avenir" w:hAnsi="Avenir"/>
          <w:b w:val="1"/>
          <w:color w:val="18405b"/>
          <w:rtl w:val="0"/>
        </w:rPr>
        <w:t xml:space="preserve">What:</w:t>
      </w:r>
      <w:r w:rsidDel="00000000" w:rsidR="00000000" w:rsidRPr="00000000">
        <w:rPr>
          <w:rFonts w:ascii="Avenir" w:cs="Avenir" w:eastAsia="Avenir" w:hAnsi="Avenir"/>
          <w:color w:val="18405b"/>
          <w:rtl w:val="0"/>
        </w:rPr>
        <w:t xml:space="preserve"> Encourage staff to wear something orange—to spark curiosity and conversation.  You could hold a “Best Orange Outfit” mini contest or group photo challenge.</w:t>
        <w:br w:type="textWrapping"/>
      </w:r>
      <w:r w:rsidDel="00000000" w:rsidR="00000000" w:rsidRPr="00000000">
        <w:rPr>
          <w:rFonts w:ascii="Avenir" w:cs="Avenir" w:eastAsia="Avenir" w:hAnsi="Avenir"/>
          <w:b w:val="1"/>
          <w:color w:val="18405b"/>
          <w:rtl w:val="0"/>
        </w:rPr>
        <w:t xml:space="preserve">Toolkit Provides:</w:t>
      </w:r>
      <w:r w:rsidDel="00000000" w:rsidR="00000000" w:rsidRPr="00000000">
        <w:rPr>
          <w:rFonts w:ascii="Avenir" w:cs="Avenir" w:eastAsia="Avenir" w:hAnsi="Avenir"/>
          <w:color w:val="18405b"/>
          <w:rtl w:val="0"/>
        </w:rPr>
        <w:t xml:space="preserve"> Generic posters </w:t>
      </w:r>
      <w:r w:rsidDel="00000000" w:rsidR="00000000" w:rsidRPr="00000000">
        <w:rPr>
          <w:rtl w:val="0"/>
        </w:rPr>
      </w:r>
    </w:p>
    <w:p w:rsidR="00000000" w:rsidDel="00000000" w:rsidP="00000000" w:rsidRDefault="00000000" w:rsidRPr="00000000" w14:paraId="00000010">
      <w:pPr>
        <w:pStyle w:val="Heading1"/>
        <w:spacing w:after="240" w:before="240" w:lineRule="auto"/>
        <w:rPr>
          <w:rFonts w:ascii="Avenir" w:cs="Avenir" w:eastAsia="Avenir" w:hAnsi="Avenir"/>
        </w:rPr>
      </w:pPr>
      <w:bookmarkStart w:colFirst="0" w:colLast="0" w:name="_trba1exv8ln" w:id="4"/>
      <w:bookmarkEnd w:id="4"/>
      <w:r w:rsidDel="00000000" w:rsidR="00000000" w:rsidRPr="00000000">
        <w:rPr>
          <w:rtl w:val="0"/>
        </w:rPr>
      </w:r>
    </w:p>
    <w:p w:rsidR="00000000" w:rsidDel="00000000" w:rsidP="00000000" w:rsidRDefault="00000000" w:rsidRPr="00000000" w14:paraId="00000011">
      <w:pPr>
        <w:pStyle w:val="Heading1"/>
        <w:spacing w:after="240" w:before="240" w:lineRule="auto"/>
        <w:rPr>
          <w:rFonts w:ascii="Avenir" w:cs="Avenir" w:eastAsia="Avenir" w:hAnsi="Avenir"/>
        </w:rPr>
      </w:pPr>
      <w:bookmarkStart w:colFirst="0" w:colLast="0" w:name="_5as15oaus7li" w:id="5"/>
      <w:bookmarkEnd w:id="5"/>
      <w:r w:rsidDel="00000000" w:rsidR="00000000" w:rsidRPr="00000000">
        <w:rPr>
          <w:rtl w:val="0"/>
        </w:rPr>
      </w:r>
    </w:p>
    <w:p w:rsidR="00000000" w:rsidDel="00000000" w:rsidP="00000000" w:rsidRDefault="00000000" w:rsidRPr="00000000" w14:paraId="00000012">
      <w:pPr>
        <w:pStyle w:val="Heading1"/>
        <w:spacing w:after="240" w:before="240" w:lineRule="auto"/>
        <w:rPr>
          <w:rFonts w:ascii="Avenir" w:cs="Avenir" w:eastAsia="Avenir" w:hAnsi="Avenir"/>
          <w:color w:val="18405b"/>
        </w:rPr>
      </w:pPr>
      <w:bookmarkStart w:colFirst="0" w:colLast="0" w:name="_3u8qthqnh7ne" w:id="6"/>
      <w:bookmarkEnd w:id="6"/>
      <w:r w:rsidDel="00000000" w:rsidR="00000000" w:rsidRPr="00000000">
        <w:rPr>
          <w:rFonts w:ascii="Avenir" w:cs="Avenir" w:eastAsia="Avenir" w:hAnsi="Avenir"/>
          <w:color w:val="18405b"/>
          <w:rtl w:val="0"/>
        </w:rPr>
        <w:t xml:space="preserve">Virtual Networking and WRAD Awareness</w:t>
      </w:r>
    </w:p>
    <w:p w:rsidR="00000000" w:rsidDel="00000000" w:rsidP="00000000" w:rsidRDefault="00000000" w:rsidRPr="00000000" w14:paraId="00000013">
      <w:pPr>
        <w:spacing w:after="240" w:before="240" w:lineRule="auto"/>
        <w:rPr>
          <w:rFonts w:ascii="Avenir" w:cs="Avenir" w:eastAsia="Avenir" w:hAnsi="Avenir"/>
          <w:color w:val="18405b"/>
        </w:rPr>
      </w:pPr>
      <w:r w:rsidDel="00000000" w:rsidR="00000000" w:rsidRPr="00000000">
        <w:rPr>
          <w:rFonts w:ascii="Avenir" w:cs="Avenir" w:eastAsia="Avenir" w:hAnsi="Avenir"/>
          <w:b w:val="1"/>
          <w:color w:val="18405b"/>
          <w:rtl w:val="0"/>
        </w:rPr>
        <w:t xml:space="preserve">What:</w:t>
      </w:r>
      <w:r w:rsidDel="00000000" w:rsidR="00000000" w:rsidRPr="00000000">
        <w:rPr>
          <w:rFonts w:ascii="Avenir" w:cs="Avenir" w:eastAsia="Avenir" w:hAnsi="Avenir"/>
          <w:color w:val="18405b"/>
          <w:rtl w:val="0"/>
        </w:rPr>
        <w:t xml:space="preserve"> Collaborate with existing professional networks, working groups, communities or your hospital to raise awareness of radiotherapy through virtual and in-person meetings. </w:t>
      </w:r>
    </w:p>
    <w:p w:rsidR="00000000" w:rsidDel="00000000" w:rsidP="00000000" w:rsidRDefault="00000000" w:rsidRPr="00000000" w14:paraId="00000014">
      <w:pPr>
        <w:numPr>
          <w:ilvl w:val="0"/>
          <w:numId w:val="1"/>
        </w:numPr>
        <w:spacing w:after="0" w:afterAutospacing="0" w:before="220" w:lineRule="auto"/>
        <w:ind w:left="720" w:hanging="360"/>
        <w:rPr>
          <w:rFonts w:ascii="Avenir" w:cs="Avenir" w:eastAsia="Avenir" w:hAnsi="Avenir"/>
          <w:color w:val="18405b"/>
          <w:sz w:val="21"/>
          <w:szCs w:val="21"/>
        </w:rPr>
      </w:pPr>
      <w:r w:rsidDel="00000000" w:rsidR="00000000" w:rsidRPr="00000000">
        <w:rPr>
          <w:rFonts w:ascii="Avenir" w:cs="Avenir" w:eastAsia="Avenir" w:hAnsi="Avenir"/>
          <w:color w:val="18405b"/>
          <w:sz w:val="21"/>
          <w:szCs w:val="21"/>
          <w:rtl w:val="0"/>
        </w:rPr>
        <w:t xml:space="preserve">Present at Existing Meetings: Reach out to request a short WRAD presentation slot at regular meetings or webinars.</w:t>
      </w:r>
    </w:p>
    <w:p w:rsidR="00000000" w:rsidDel="00000000" w:rsidP="00000000" w:rsidRDefault="00000000" w:rsidRPr="00000000" w14:paraId="00000015">
      <w:pPr>
        <w:numPr>
          <w:ilvl w:val="0"/>
          <w:numId w:val="1"/>
        </w:numPr>
        <w:spacing w:after="0" w:afterAutospacing="0" w:before="0" w:beforeAutospacing="0" w:lineRule="auto"/>
        <w:ind w:left="720" w:hanging="360"/>
        <w:rPr>
          <w:rFonts w:ascii="Avenir" w:cs="Avenir" w:eastAsia="Avenir" w:hAnsi="Avenir"/>
          <w:color w:val="18405b"/>
          <w:sz w:val="21"/>
          <w:szCs w:val="21"/>
        </w:rPr>
      </w:pPr>
      <w:r w:rsidDel="00000000" w:rsidR="00000000" w:rsidRPr="00000000">
        <w:rPr>
          <w:rFonts w:ascii="Avenir" w:cs="Avenir" w:eastAsia="Avenir" w:hAnsi="Avenir"/>
          <w:color w:val="18405b"/>
          <w:sz w:val="21"/>
          <w:szCs w:val="21"/>
          <w:rtl w:val="0"/>
        </w:rPr>
        <w:t xml:space="preserve">Host Joint Webinars or Panel</w:t>
      </w:r>
    </w:p>
    <w:p w:rsidR="00000000" w:rsidDel="00000000" w:rsidP="00000000" w:rsidRDefault="00000000" w:rsidRPr="00000000" w14:paraId="00000016">
      <w:pPr>
        <w:numPr>
          <w:ilvl w:val="0"/>
          <w:numId w:val="1"/>
        </w:numPr>
        <w:spacing w:after="0" w:afterAutospacing="0" w:before="0" w:beforeAutospacing="0" w:lineRule="auto"/>
        <w:ind w:left="720" w:hanging="360"/>
        <w:rPr>
          <w:color w:val="18405b"/>
          <w:sz w:val="21"/>
          <w:szCs w:val="21"/>
        </w:rPr>
      </w:pPr>
      <w:r w:rsidDel="00000000" w:rsidR="00000000" w:rsidRPr="00000000">
        <w:rPr>
          <w:rFonts w:ascii="Avenir" w:cs="Avenir" w:eastAsia="Avenir" w:hAnsi="Avenir"/>
          <w:color w:val="18405b"/>
          <w:sz w:val="21"/>
          <w:szCs w:val="21"/>
          <w:rtl w:val="0"/>
        </w:rPr>
        <w:t xml:space="preserve">Offer Guest Speakers:</w:t>
      </w:r>
      <w:r w:rsidDel="00000000" w:rsidR="00000000" w:rsidRPr="00000000">
        <w:rPr>
          <w:rFonts w:ascii="Avenir" w:cs="Avenir" w:eastAsia="Avenir" w:hAnsi="Avenir"/>
          <w:b w:val="1"/>
          <w:color w:val="18405b"/>
          <w:sz w:val="21"/>
          <w:szCs w:val="21"/>
          <w:rtl w:val="0"/>
        </w:rPr>
        <w:t xml:space="preserve"> </w:t>
      </w:r>
      <w:r w:rsidDel="00000000" w:rsidR="00000000" w:rsidRPr="00000000">
        <w:rPr>
          <w:rFonts w:ascii="Avenir" w:cs="Avenir" w:eastAsia="Avenir" w:hAnsi="Avenir"/>
          <w:color w:val="18405b"/>
          <w:sz w:val="21"/>
          <w:szCs w:val="21"/>
          <w:rtl w:val="0"/>
        </w:rPr>
        <w:t xml:space="preserve">Provide expert speakers from your department to join external webinars or podcasts during the WRAD week.</w:t>
      </w:r>
    </w:p>
    <w:p w:rsidR="00000000" w:rsidDel="00000000" w:rsidP="00000000" w:rsidRDefault="00000000" w:rsidRPr="00000000" w14:paraId="00000017">
      <w:pPr>
        <w:numPr>
          <w:ilvl w:val="0"/>
          <w:numId w:val="1"/>
        </w:numPr>
        <w:spacing w:after="220" w:before="0" w:beforeAutospacing="0" w:lineRule="auto"/>
        <w:ind w:left="720" w:hanging="360"/>
        <w:rPr>
          <w:color w:val="18405b"/>
          <w:sz w:val="21"/>
          <w:szCs w:val="21"/>
        </w:rPr>
      </w:pPr>
      <w:r w:rsidDel="00000000" w:rsidR="00000000" w:rsidRPr="00000000">
        <w:rPr>
          <w:rFonts w:ascii="Avenir" w:cs="Avenir" w:eastAsia="Avenir" w:hAnsi="Avenir"/>
          <w:color w:val="18405b"/>
          <w:sz w:val="21"/>
          <w:szCs w:val="21"/>
          <w:rtl w:val="0"/>
        </w:rPr>
        <w:t xml:space="preserve">Promote Through Network Channels:</w:t>
      </w:r>
      <w:r w:rsidDel="00000000" w:rsidR="00000000" w:rsidRPr="00000000">
        <w:rPr>
          <w:rFonts w:ascii="Avenir" w:cs="Avenir" w:eastAsia="Avenir" w:hAnsi="Avenir"/>
          <w:b w:val="1"/>
          <w:color w:val="18405b"/>
          <w:sz w:val="21"/>
          <w:szCs w:val="21"/>
          <w:rtl w:val="0"/>
        </w:rPr>
        <w:t xml:space="preserve"> </w:t>
      </w:r>
      <w:r w:rsidDel="00000000" w:rsidR="00000000" w:rsidRPr="00000000">
        <w:rPr>
          <w:rFonts w:ascii="Avenir" w:cs="Avenir" w:eastAsia="Avenir" w:hAnsi="Avenir"/>
          <w:color w:val="18405b"/>
          <w:sz w:val="21"/>
          <w:szCs w:val="21"/>
          <w:rtl w:val="0"/>
        </w:rPr>
        <w:t xml:space="preserve">Share WRAD materials, social media graphics through newsletters, groups, LinkedIn communities, and internal communications. </w:t>
      </w:r>
    </w:p>
    <w:p w:rsidR="00000000" w:rsidDel="00000000" w:rsidP="00000000" w:rsidRDefault="00000000" w:rsidRPr="00000000" w14:paraId="00000018">
      <w:pPr>
        <w:spacing w:after="220" w:before="220" w:lineRule="auto"/>
        <w:rPr>
          <w:rFonts w:ascii="Avenir" w:cs="Avenir" w:eastAsia="Avenir" w:hAnsi="Avenir"/>
          <w:color w:val="18405b"/>
          <w:sz w:val="21"/>
          <w:szCs w:val="21"/>
        </w:rPr>
      </w:pPr>
      <w:r w:rsidDel="00000000" w:rsidR="00000000" w:rsidRPr="00000000">
        <w:rPr>
          <w:rFonts w:ascii="Avenir" w:cs="Avenir" w:eastAsia="Avenir" w:hAnsi="Avenir"/>
          <w:b w:val="1"/>
          <w:color w:val="18405b"/>
          <w:sz w:val="21"/>
          <w:szCs w:val="21"/>
          <w:rtl w:val="0"/>
        </w:rPr>
        <w:t xml:space="preserve">Toolkit Provides: </w:t>
      </w:r>
      <w:r w:rsidDel="00000000" w:rsidR="00000000" w:rsidRPr="00000000">
        <w:rPr>
          <w:rFonts w:ascii="Avenir" w:cs="Avenir" w:eastAsia="Avenir" w:hAnsi="Avenir"/>
          <w:color w:val="18405b"/>
          <w:sz w:val="21"/>
          <w:szCs w:val="21"/>
          <w:rtl w:val="0"/>
        </w:rPr>
        <w:t xml:space="preserve">Slide deck templates (title, key facts, call-to-action), suggested topics, WRAD-branded Zoom/Teams background.</w:t>
      </w:r>
    </w:p>
    <w:p w:rsidR="00000000" w:rsidDel="00000000" w:rsidP="00000000" w:rsidRDefault="00000000" w:rsidRPr="00000000" w14:paraId="00000019">
      <w:pPr>
        <w:pStyle w:val="Heading1"/>
        <w:spacing w:after="220" w:before="220" w:line="342.85714285714283" w:lineRule="auto"/>
        <w:rPr>
          <w:rFonts w:ascii="Avenir" w:cs="Avenir" w:eastAsia="Avenir" w:hAnsi="Avenir"/>
          <w:color w:val="18405b"/>
        </w:rPr>
      </w:pPr>
      <w:bookmarkStart w:colFirst="0" w:colLast="0" w:name="_n7d3sny4muwc" w:id="7"/>
      <w:bookmarkEnd w:id="7"/>
      <w:r w:rsidDel="00000000" w:rsidR="00000000" w:rsidRPr="00000000">
        <w:rPr>
          <w:rFonts w:ascii="Avenir" w:cs="Avenir" w:eastAsia="Avenir" w:hAnsi="Avenir"/>
          <w:color w:val="18405b"/>
          <w:rtl w:val="0"/>
        </w:rPr>
        <w:t xml:space="preserve">WRAD Social Media Takeover</w:t>
      </w:r>
    </w:p>
    <w:p w:rsidR="00000000" w:rsidDel="00000000" w:rsidP="00000000" w:rsidRDefault="00000000" w:rsidRPr="00000000" w14:paraId="0000001A">
      <w:pPr>
        <w:numPr>
          <w:ilvl w:val="0"/>
          <w:numId w:val="4"/>
        </w:numPr>
        <w:spacing w:after="220" w:before="220" w:line="342.85714285714283" w:lineRule="auto"/>
        <w:ind w:left="720" w:hanging="360"/>
        <w:rPr>
          <w:rFonts w:ascii="Avenir" w:cs="Avenir" w:eastAsia="Avenir" w:hAnsi="Avenir"/>
          <w:color w:val="18405b"/>
          <w:sz w:val="21"/>
          <w:szCs w:val="21"/>
        </w:rPr>
      </w:pPr>
      <w:r w:rsidDel="00000000" w:rsidR="00000000" w:rsidRPr="00000000">
        <w:rPr>
          <w:rFonts w:ascii="Avenir" w:cs="Avenir" w:eastAsia="Avenir" w:hAnsi="Avenir"/>
          <w:color w:val="18405b"/>
          <w:sz w:val="21"/>
          <w:szCs w:val="21"/>
          <w:rtl w:val="0"/>
        </w:rPr>
        <w:t xml:space="preserve">Dedicate your social media channels to World Radiotherapy Awareness Day. Whether you focus on the day itself or build momentum in the week before or after, use your socials to spotlight the people, progress, and impact of radiotherapy. Share stories from patients, insights from professionals, and key facts about access and innovation. Make your platforms a hub for awareness, education, and advocacy on WRAD.</w:t>
      </w:r>
      <w:r w:rsidDel="00000000" w:rsidR="00000000" w:rsidRPr="00000000">
        <w:rPr>
          <w:rtl w:val="0"/>
        </w:rPr>
      </w:r>
    </w:p>
    <w:p w:rsidR="00000000" w:rsidDel="00000000" w:rsidP="00000000" w:rsidRDefault="00000000" w:rsidRPr="00000000" w14:paraId="0000001B">
      <w:pPr>
        <w:pStyle w:val="Heading1"/>
        <w:spacing w:after="220" w:before="220" w:line="342.85714285714283" w:lineRule="auto"/>
        <w:rPr>
          <w:rFonts w:ascii="Avenir" w:cs="Avenir" w:eastAsia="Avenir" w:hAnsi="Avenir"/>
          <w:color w:val="18405b"/>
        </w:rPr>
      </w:pPr>
      <w:bookmarkStart w:colFirst="0" w:colLast="0" w:name="_x1q2jnb2ranv" w:id="8"/>
      <w:bookmarkEnd w:id="8"/>
      <w:r w:rsidDel="00000000" w:rsidR="00000000" w:rsidRPr="00000000">
        <w:rPr>
          <w:rFonts w:ascii="Avenir" w:cs="Avenir" w:eastAsia="Avenir" w:hAnsi="Avenir"/>
          <w:color w:val="18405b"/>
          <w:rtl w:val="0"/>
        </w:rPr>
        <w:t xml:space="preserve">Link with Existing Work/ Publications</w:t>
      </w:r>
    </w:p>
    <w:p w:rsidR="00000000" w:rsidDel="00000000" w:rsidP="00000000" w:rsidRDefault="00000000" w:rsidRPr="00000000" w14:paraId="0000001C">
      <w:pPr>
        <w:numPr>
          <w:ilvl w:val="0"/>
          <w:numId w:val="3"/>
        </w:numPr>
        <w:spacing w:after="220" w:before="220" w:line="342.85714285714283" w:lineRule="auto"/>
        <w:ind w:left="720" w:hanging="360"/>
        <w:rPr>
          <w:rFonts w:ascii="Avenir" w:cs="Avenir" w:eastAsia="Avenir" w:hAnsi="Avenir"/>
          <w:color w:val="18405b"/>
          <w:sz w:val="21"/>
          <w:szCs w:val="21"/>
        </w:rPr>
      </w:pPr>
      <w:r w:rsidDel="00000000" w:rsidR="00000000" w:rsidRPr="00000000">
        <w:rPr>
          <w:rFonts w:ascii="Avenir" w:cs="Avenir" w:eastAsia="Avenir" w:hAnsi="Avenir"/>
          <w:color w:val="18405b"/>
          <w:sz w:val="21"/>
          <w:szCs w:val="21"/>
          <w:rtl w:val="0"/>
        </w:rPr>
        <w:t xml:space="preserve">Use World Radiotherapy Awareness Day to spotlight the research that drives progress. Whether it’s launching a new report or revisiting a key publication, WRAD is the perfect opportunity to highlight findings, share data, and start conversations around access, innovation, and impact in radiotherapy.</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veni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spacing w:after="240" w:before="240" w:lineRule="auto"/>
      <w:rPr>
        <w:rFonts w:ascii="Avenir" w:cs="Avenir" w:eastAsia="Avenir" w:hAnsi="Avenir"/>
        <w:b w:val="1"/>
        <w:color w:val="18405b"/>
        <w:sz w:val="28"/>
        <w:szCs w:val="28"/>
      </w:rPr>
    </w:pPr>
    <w:r w:rsidDel="00000000" w:rsidR="00000000" w:rsidRPr="00000000">
      <w:rPr>
        <w:rtl w:val="0"/>
      </w:rPr>
    </w:r>
  </w:p>
  <w:p w:rsidR="00000000" w:rsidDel="00000000" w:rsidP="00000000" w:rsidRDefault="00000000" w:rsidRPr="00000000" w14:paraId="0000001E">
    <w:pPr>
      <w:rPr/>
    </w:pPr>
    <w:r w:rsidDel="00000000" w:rsidR="00000000" w:rsidRPr="00000000">
      <w:rPr/>
      <w:drawing>
        <wp:anchor allowOverlap="1" behindDoc="1" distB="114300" distT="114300" distL="114300" distR="114300" hidden="0" layoutInCell="1" locked="0" relativeHeight="0" simplePos="0">
          <wp:simplePos x="0" y="0"/>
          <wp:positionH relativeFrom="page">
            <wp:posOffset>-57149</wp:posOffset>
          </wp:positionH>
          <wp:positionV relativeFrom="page">
            <wp:posOffset>0</wp:posOffset>
          </wp:positionV>
          <wp:extent cx="7848600" cy="11106272"/>
          <wp:effectExtent b="0" l="0" r="0" t="0"/>
          <wp:wrapNone/>
          <wp:docPr id="1" name="image1.png"/>
          <a:graphic>
            <a:graphicData uri="http://schemas.openxmlformats.org/drawingml/2006/picture">
              <pic:pic>
                <pic:nvPicPr>
                  <pic:cNvPr id="0" name="image1.png"/>
                  <pic:cNvPicPr preferRelativeResize="0"/>
                </pic:nvPicPr>
                <pic:blipFill>
                  <a:blip r:embed="rId1"/>
                  <a:srcRect b="0" l="22" r="22" t="0"/>
                  <a:stretch>
                    <a:fillRect/>
                  </a:stretch>
                </pic:blipFill>
                <pic:spPr>
                  <a:xfrm>
                    <a:off x="0" y="0"/>
                    <a:ext cx="7848600" cy="1110627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